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b/>
          <w:bCs/>
          <w:sz w:val="36"/>
          <w:szCs w:val="36"/>
        </w:rPr>
      </w:pPr>
      <w:r>
        <w:rPr>
          <w:rFonts w:hint="eastAsia"/>
          <w:b/>
          <w:bCs/>
          <w:sz w:val="36"/>
          <w:szCs w:val="36"/>
        </w:rPr>
        <w:t>政府会计准则第3号——固定资产</w:t>
      </w:r>
    </w:p>
    <w:p>
      <w:pPr>
        <w:pStyle w:val="4"/>
        <w:shd w:val="clear" w:color="auto" w:fill="FFFFFF"/>
        <w:spacing w:before="0" w:beforeAutospacing="0" w:after="0" w:afterAutospacing="0" w:line="560" w:lineRule="exact"/>
        <w:jc w:val="center"/>
        <w:rPr>
          <w:rFonts w:ascii="微软雅黑" w:hAnsi="微软雅黑" w:eastAsia="微软雅黑"/>
          <w:color w:val="000000"/>
          <w:sz w:val="21"/>
          <w:szCs w:val="21"/>
        </w:rPr>
      </w:pPr>
      <w:r>
        <w:rPr>
          <w:rFonts w:hint="eastAsia" w:ascii="仿宋_GB2312" w:hAnsi="微软雅黑" w:eastAsia="仿宋_GB2312"/>
          <w:b/>
          <w:bCs/>
          <w:color w:val="000000"/>
          <w:sz w:val="27"/>
          <w:szCs w:val="27"/>
        </w:rPr>
        <w:t>第一章 总 则</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第一条 为了规范固定资产的确认、计量和相关信息的披露，根据《政府会计准则——基本准则》，制定本准则。</w:t>
      </w:r>
    </w:p>
    <w:p>
      <w:pPr>
        <w:pStyle w:val="4"/>
        <w:shd w:val="clear" w:color="auto" w:fill="FFFFFF"/>
        <w:spacing w:before="0" w:beforeAutospacing="0" w:after="0" w:afterAutospacing="0" w:line="560" w:lineRule="exact"/>
        <w:ind w:firstLine="540" w:firstLineChars="200"/>
        <w:rPr>
          <w:rFonts w:hint="eastAsia" w:ascii="仿宋_GB2312" w:hAnsi="微软雅黑" w:eastAsia="仿宋_GB2312"/>
          <w:color w:val="000000"/>
          <w:sz w:val="27"/>
          <w:szCs w:val="27"/>
        </w:rPr>
      </w:pPr>
      <w:r>
        <w:rPr>
          <w:rFonts w:hint="eastAsia" w:ascii="仿宋_GB2312" w:hAnsi="微软雅黑" w:eastAsia="仿宋_GB2312"/>
          <w:color w:val="000000"/>
          <w:sz w:val="27"/>
          <w:szCs w:val="27"/>
        </w:rPr>
        <w:t xml:space="preserve">第二条 本准则所称固定资产，是指政府会计主体为满足自身开展业务活动或其他活动需要而控制的，使用年限超过 1 年（不含 1 年）、单位价值在规定标准以上，并在使用过程中基本保持原有物质形态的资产，一般包括房屋及构筑物、专用设备、通用设备等。 </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单位价值虽未达到规定标准，但是使用年限超过1年（不含1年）的大批同类物资，如图书、家具、用具、装具等，应当确认为固定资产。</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第三条 公共基础设施、政府储备物资、保障性住房、自然资源资产等，适用其他相关政府会计准则。</w:t>
      </w:r>
    </w:p>
    <w:p>
      <w:pPr>
        <w:pStyle w:val="4"/>
        <w:shd w:val="clear" w:color="auto" w:fill="FFFFFF"/>
        <w:spacing w:before="0" w:beforeAutospacing="0" w:after="0" w:afterAutospacing="0" w:line="560" w:lineRule="exact"/>
        <w:jc w:val="center"/>
        <w:rPr>
          <w:rFonts w:hint="eastAsia" w:ascii="微软雅黑" w:hAnsi="微软雅黑" w:eastAsia="微软雅黑"/>
          <w:color w:val="000000"/>
          <w:sz w:val="21"/>
          <w:szCs w:val="21"/>
        </w:rPr>
      </w:pPr>
      <w:r>
        <w:rPr>
          <w:rFonts w:hint="eastAsia" w:ascii="仿宋_GB2312" w:hAnsi="微软雅黑" w:eastAsia="仿宋_GB2312"/>
          <w:b/>
          <w:bCs/>
          <w:color w:val="000000"/>
          <w:sz w:val="27"/>
          <w:szCs w:val="27"/>
        </w:rPr>
        <w:t>第二章 固定资产的确认</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第四条 固定资产同时满足下列条件的，应当予以确认：</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（一）与该固定资产相关的服务潜力很可能实现或者经济利益很可能流入政府会计主体；</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（二）该固定资产的成本或者价值能够可靠地计量。</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第五条 通常情况下，购入、换入、接受捐赠、无偿调入不需安装的固定资产，在固定资产验收合格时确认；购入、换入、接受捐赠、无偿调入需要安装的固定资产，在固定资产安装完成交付使用时确认；自行建造、改建、扩建的固定资产，在建造完成交付使用时确认。</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highlight w:val="yellow"/>
        </w:rPr>
      </w:pPr>
      <w:r>
        <w:rPr>
          <w:rFonts w:hint="eastAsia" w:ascii="仿宋_GB2312" w:hAnsi="微软雅黑" w:eastAsia="仿宋_GB2312"/>
          <w:color w:val="000000"/>
          <w:sz w:val="27"/>
          <w:szCs w:val="27"/>
          <w:highlight w:val="yellow"/>
        </w:rPr>
        <w:t>第六条 确认固定资产时，应当考虑以下情况：</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highlight w:val="yellow"/>
        </w:rPr>
      </w:pPr>
      <w:r>
        <w:rPr>
          <w:rFonts w:hint="eastAsia" w:ascii="仿宋_GB2312" w:hAnsi="微软雅黑" w:eastAsia="仿宋_GB2312"/>
          <w:color w:val="000000"/>
          <w:sz w:val="27"/>
          <w:szCs w:val="27"/>
          <w:highlight w:val="yellow"/>
        </w:rPr>
        <w:t>（一）固定资产的各组成部分具有不同使用年限或者以不同方式为政府会计主体实现服务潜力或提供经济利益，适用不同折旧率或折旧方法且可以分别确定各自原价的，应当分别将各组成部分确认为单项固定资产。</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highlight w:val="yellow"/>
        </w:rPr>
      </w:pPr>
      <w:r>
        <w:rPr>
          <w:rFonts w:hint="eastAsia" w:ascii="仿宋_GB2312" w:hAnsi="微软雅黑" w:eastAsia="仿宋_GB2312"/>
          <w:color w:val="000000"/>
          <w:sz w:val="27"/>
          <w:szCs w:val="27"/>
          <w:highlight w:val="yellow"/>
        </w:rPr>
        <w:t>（二）应用软件构成相关硬件不可缺少的组成部分的，应当将该软件的价值包括在所属的硬件价值中，一并确认为固定资产；不构成相关硬件不可缺少的组成部分的，应当将该软件确认为无形资产。</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三）购建房屋及构筑物时，不能分清购建成本中的房屋及构筑物部分与土地使用权部分的，应当全部确认为固定资产；能够分清购建成本中的房屋及构筑物部分与土地使用权部分的，应当将其中的房屋及构筑物部分确认为固定资产，将其中的土地使用权部分确认为无形资产。</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highlight w:val="yellow"/>
        </w:rPr>
      </w:pPr>
      <w:r>
        <w:rPr>
          <w:rFonts w:hint="eastAsia" w:ascii="仿宋_GB2312" w:hAnsi="微软雅黑" w:eastAsia="仿宋_GB2312"/>
          <w:color w:val="000000"/>
          <w:sz w:val="27"/>
          <w:szCs w:val="27"/>
          <w:highlight w:val="yellow"/>
        </w:rPr>
        <w:t>第七条 固定资产在使用过程中发生的后续支出，符合本准则第四条规定的确认条件的，应当计入固定资产成本；不符合本准则第四条规定的确认条件的，应当在发生时计入当期费用或者相关资产成本。 将发生的固定资产后续支出计入固定资产成本的，应当同时从固定资产账面价值中扣除被替换部分的账面价值。</w:t>
      </w:r>
    </w:p>
    <w:p>
      <w:pPr>
        <w:pStyle w:val="4"/>
        <w:shd w:val="clear" w:color="auto" w:fill="FFFFFF"/>
        <w:spacing w:before="0" w:beforeAutospacing="0" w:after="0" w:afterAutospacing="0" w:line="560" w:lineRule="exact"/>
        <w:jc w:val="center"/>
        <w:rPr>
          <w:rFonts w:hint="eastAsia" w:ascii="微软雅黑" w:hAnsi="微软雅黑" w:eastAsia="微软雅黑"/>
          <w:color w:val="000000"/>
          <w:sz w:val="21"/>
          <w:szCs w:val="21"/>
        </w:rPr>
      </w:pPr>
      <w:r>
        <w:rPr>
          <w:rFonts w:hint="eastAsia" w:ascii="仿宋_GB2312" w:hAnsi="微软雅黑" w:eastAsia="仿宋_GB2312"/>
          <w:b/>
          <w:bCs/>
          <w:color w:val="000000"/>
          <w:sz w:val="27"/>
          <w:szCs w:val="27"/>
        </w:rPr>
        <w:t>第三章 固定资产的初始计量</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第八条 固定资产在取得时应当按照成本进行初始计量。</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第九条 政府会计主体外购的固定资产，其成本包括购买价款、相关税费以及固定资产交付使用前所发生的可归属于该项资产的运输费、装卸费、安装费和专业人员服务费等。 以一笔款项购入多项没有单独标价的固定资产，应当按照各项固定资产同类或类似资产市场价格的比例对总成本进行分配，分别确定各项固定资产的成本。</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 xml:space="preserve">第十条 政府会计主体自行建造的固定资产，其成本包括该项资产至交付使用前所发生的全部必要支出。 </w:t>
      </w:r>
      <w:r>
        <w:rPr>
          <w:rFonts w:hint="eastAsia" w:ascii="仿宋_GB2312" w:hAnsi="微软雅黑" w:eastAsia="仿宋_GB2312"/>
          <w:color w:val="000000"/>
          <w:sz w:val="27"/>
          <w:szCs w:val="27"/>
          <w:highlight w:val="yellow"/>
        </w:rPr>
        <w:t>在原有固定资产基础上进行改建、扩建、修缮后的固定资产，其成本按照原固定资产账面价值加上改建、扩建、修缮发生的支出，再扣除固定资产被替换部分的账面价值后</w:t>
      </w:r>
      <w:bookmarkStart w:id="0" w:name="_GoBack"/>
      <w:bookmarkEnd w:id="0"/>
      <w:r>
        <w:rPr>
          <w:rFonts w:hint="eastAsia" w:ascii="仿宋_GB2312" w:hAnsi="微软雅黑" w:eastAsia="仿宋_GB2312"/>
          <w:color w:val="000000"/>
          <w:sz w:val="27"/>
          <w:szCs w:val="27"/>
          <w:highlight w:val="yellow"/>
        </w:rPr>
        <w:t>的金额确定。</w:t>
      </w:r>
      <w:r>
        <w:rPr>
          <w:rFonts w:hint="eastAsia" w:ascii="仿宋_GB2312" w:hAnsi="微软雅黑" w:eastAsia="仿宋_GB2312"/>
          <w:color w:val="000000"/>
          <w:sz w:val="27"/>
          <w:szCs w:val="27"/>
        </w:rPr>
        <w:t xml:space="preserve"> 为建造固定资产借入的专门借款的利息，属于建设期间发生的，计入在建工程成本；不属于建设期间发生的，计入当期费用。已交付使用但尚未办理竣工决算手续的固定资产，应当按照估计价值入账，待办理竣工决算后再按实际成本调整原来的暂估价值。</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第十一条 政府会计主体通过置换取得的固定资产，其成本按照换出资产的评估价值加上支付的补价或减去收到的补价，加上换入固定资产发生的其他相关支出确定。</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第十二条 政府会计主体接受捐赠的固定资产，其成本按照有关凭据注明的金额加上相关税费、运输费等确定；没有相关凭据可供取得，但按规定经过资产评估的，其成本按照评估价值加上相关税费、运输费等确定；没有相关凭据可供取得、也未经资产评估的，其成本比照同类或类似资产的市场价格加上相关税费、运输费等确定；没有相关凭据且未经资产评估、同类或类似资产的市场价格也无法可靠取得的，按照名义金额入账，相关税费、运输费等计入当期费用。 如受赠的系旧的固定资产，在确定其初始入账成本时应当考虑该项资产的新旧程度。</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第十三条 政府会计主体无偿调入的固定资产，其成本按照调出方账面价值加上相关税费、运输费等确定。</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第十四条 政府会计主体盘盈的固定资产，按规定经过资产评估的，其成本按照评估价值确定；未经资产评估的，其成本按照重置成本确定。</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第十五条 政府会计主体融资租赁取得的固定资产，其成本按照其他相关政府会计准则确定。</w:t>
      </w:r>
    </w:p>
    <w:p>
      <w:pPr>
        <w:pStyle w:val="4"/>
        <w:shd w:val="clear" w:color="auto" w:fill="FFFFFF"/>
        <w:spacing w:before="0" w:beforeAutospacing="0" w:after="0" w:afterAutospacing="0" w:line="560" w:lineRule="exact"/>
        <w:jc w:val="center"/>
        <w:rPr>
          <w:rFonts w:hint="eastAsia" w:ascii="微软雅黑" w:hAnsi="微软雅黑" w:eastAsia="微软雅黑"/>
          <w:color w:val="000000"/>
          <w:sz w:val="21"/>
          <w:szCs w:val="21"/>
        </w:rPr>
      </w:pPr>
      <w:r>
        <w:rPr>
          <w:rFonts w:hint="eastAsia" w:ascii="仿宋_GB2312" w:hAnsi="微软雅黑" w:eastAsia="仿宋_GB2312"/>
          <w:b/>
          <w:bCs/>
          <w:color w:val="000000"/>
          <w:sz w:val="27"/>
          <w:szCs w:val="27"/>
        </w:rPr>
        <w:t>第四章 固定资产的后续计量</w:t>
      </w:r>
    </w:p>
    <w:p>
      <w:pPr>
        <w:pStyle w:val="4"/>
        <w:shd w:val="clear" w:color="auto" w:fill="FFFFFF"/>
        <w:spacing w:before="0" w:beforeAutospacing="0" w:after="0" w:afterAutospacing="0" w:line="560" w:lineRule="exact"/>
        <w:jc w:val="center"/>
        <w:rPr>
          <w:rFonts w:hint="eastAsia" w:ascii="微软雅黑" w:hAnsi="微软雅黑" w:eastAsia="微软雅黑"/>
          <w:color w:val="000000"/>
          <w:sz w:val="21"/>
          <w:szCs w:val="21"/>
        </w:rPr>
      </w:pPr>
      <w:r>
        <w:rPr>
          <w:rFonts w:hint="eastAsia" w:ascii="仿宋_GB2312" w:hAnsi="微软雅黑" w:eastAsia="仿宋_GB2312"/>
          <w:b/>
          <w:bCs/>
          <w:color w:val="000000"/>
          <w:sz w:val="27"/>
          <w:szCs w:val="27"/>
        </w:rPr>
        <w:t>第一节 固定资产的折旧</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第十六条 政府会计主体应当对固定资产计提折旧，但本准则第十七条规定的固定资产除外。 折旧，是指在固定资产的预计使用年限内，按照确定的方法对应计的折旧额进行系统分摊。 固定资产应计的折旧额为其成本，计提固定资产折旧时不考虑预计净残值。 政府会计主体应当对暂估入账的固定资产计提折旧，实际成本确定后不需调整原已计提的折旧额。</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第十七条 下列各项固定资产不计提折旧：</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（一）文物和陈列品；</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（二）动植物；</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（三）图书、档案；</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（四）单独计价入账的土地；</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（五）以名义金额计量的固定资产。</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第十八条 政府会计主体应当根据相关规定以及固定资产的性质和使用情况，合理确定固定资产的使用年限。 固定资产的使用年限一经确定，不得随意变更。政府会计主体确定固定资产使用年限，应当考虑下列因素：</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（一）预计实现服务潜力或提供经济利益的期限；</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（二）预计有形损耗和无形损耗；</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（三）法律或者类似规定对资产使用的限制。</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第十九条 政府会计主体一般应当采用年限平均法或者工作量法计提固定资产折旧。 在确定固定资产的折旧方法时，应当考虑与固定资产相关的服务潜力或经济利益的预期实现方式。</w:t>
      </w:r>
    </w:p>
    <w:p>
      <w:pPr>
        <w:pStyle w:val="4"/>
        <w:shd w:val="clear" w:color="auto" w:fill="FFFFFF"/>
        <w:spacing w:before="0" w:beforeAutospacing="0" w:after="0" w:afterAutospacing="0" w:line="560" w:lineRule="exact"/>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固定资产折旧方法一经确定，不得随意变更。</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第二十条 固定资产应当按月计提折旧，并根据用途计入当期费用或者相关资产成本。</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第二十一条 固定资产提足折旧后，无论能否继续使用，均不再计提折旧；提前报废的固定资产，也不再补提折旧。已提足折旧的固定资产，可以继续使用的，应当继续使用，</w:t>
      </w:r>
    </w:p>
    <w:p>
      <w:pPr>
        <w:pStyle w:val="4"/>
        <w:shd w:val="clear" w:color="auto" w:fill="FFFFFF"/>
        <w:spacing w:before="0" w:beforeAutospacing="0" w:after="0" w:afterAutospacing="0" w:line="560" w:lineRule="exact"/>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规范实物管理。</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第二十二条 固定资产因改建、扩建或修缮等原因而延长其使用年限的，应当按照重新确定的固定资产的成本以及重新确定的折旧年限计算折旧额。</w:t>
      </w:r>
    </w:p>
    <w:p>
      <w:pPr>
        <w:pStyle w:val="4"/>
        <w:shd w:val="clear" w:color="auto" w:fill="FFFFFF"/>
        <w:spacing w:before="0" w:beforeAutospacing="0" w:after="0" w:afterAutospacing="0" w:line="560" w:lineRule="exact"/>
        <w:jc w:val="center"/>
        <w:rPr>
          <w:rFonts w:hint="eastAsia" w:ascii="微软雅黑" w:hAnsi="微软雅黑" w:eastAsia="微软雅黑"/>
          <w:color w:val="000000"/>
          <w:sz w:val="21"/>
          <w:szCs w:val="21"/>
        </w:rPr>
      </w:pPr>
      <w:r>
        <w:rPr>
          <w:rFonts w:hint="eastAsia" w:ascii="仿宋_GB2312" w:hAnsi="微软雅黑" w:eastAsia="仿宋_GB2312"/>
          <w:b/>
          <w:bCs/>
          <w:color w:val="000000"/>
          <w:sz w:val="27"/>
          <w:szCs w:val="27"/>
        </w:rPr>
        <w:t>第二节 固定资产的处置</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第二十三条 政府会计主体按规定报经批准出售、转让固定资产或固定资产报废、毁损的，应当将固定资产账面价值转销计入当期费用，并将处置收入扣除相关处置税费后的差额按规定作应缴款项处理（差额为净收益时）或计入当期费用（差额为净损失时）。</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第二十四条 政府会计主体按规定报经批准对外捐赠、无偿调出固定资产的，应当将固定资产的账面价值予以转销，对外捐赠、无偿调出中发生的归属于捐出方、调出方的相关费用应当计入当期费用。</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第二十五条 政府会计主体按规定报经批准以固定资产对外投资的，应当将该固定资产的账面价值予以转销，并将固定资产在对外投资时的评估价值与其账面价值的差额计入当期收入或费用。</w:t>
      </w:r>
    </w:p>
    <w:p>
      <w:pPr>
        <w:pStyle w:val="4"/>
        <w:shd w:val="clear" w:color="auto" w:fill="FFFFFF"/>
        <w:spacing w:before="0" w:beforeAutospacing="0" w:after="0" w:afterAutospacing="0" w:line="560" w:lineRule="exact"/>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第二十六条 固定资产盘亏造成的损失，按规定报经批准后应当计入当期费用。</w:t>
      </w:r>
    </w:p>
    <w:p>
      <w:pPr>
        <w:pStyle w:val="4"/>
        <w:shd w:val="clear" w:color="auto" w:fill="FFFFFF"/>
        <w:spacing w:before="0" w:beforeAutospacing="0" w:after="0" w:afterAutospacing="0" w:line="560" w:lineRule="exact"/>
        <w:jc w:val="center"/>
        <w:rPr>
          <w:rFonts w:hint="eastAsia" w:ascii="微软雅黑" w:hAnsi="微软雅黑" w:eastAsia="微软雅黑"/>
          <w:color w:val="000000"/>
          <w:sz w:val="21"/>
          <w:szCs w:val="21"/>
        </w:rPr>
      </w:pPr>
      <w:r>
        <w:rPr>
          <w:rFonts w:hint="eastAsia" w:ascii="仿宋_GB2312" w:hAnsi="微软雅黑" w:eastAsia="仿宋_GB2312"/>
          <w:b/>
          <w:bCs/>
          <w:color w:val="000000"/>
          <w:sz w:val="27"/>
          <w:szCs w:val="27"/>
        </w:rPr>
        <w:t>第五章 固定资产的披露</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第二十七条 政府会计主体应当在附注中披露与固定资产有关的下列信息：</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（一）固定资产的分类和折旧方法。</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（二）各类固定资产的使用年限、折旧率。</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（三）各类固定资产账面余额、累计折旧额、账面价值的期初、期末数及其本期变动情况。</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（四）以名义金额计量的固定资产名称、数量，以及以名义金额计量的理由。</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（五）已提足折旧的固定资产名称、数量等情况。</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（六）接受捐赠、无偿调入的固定资产名称、数量等情况。</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（七）出租、出借固定资产以及以固定资产投资的情况。</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（八）固定资产对外捐赠、无偿调出、毁损等重要资产处置的情况。</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（九）暂估入账的固定资产账面价值变动情况。</w:t>
      </w:r>
    </w:p>
    <w:p>
      <w:pPr>
        <w:pStyle w:val="4"/>
        <w:shd w:val="clear" w:color="auto" w:fill="FFFFFF"/>
        <w:spacing w:before="0" w:beforeAutospacing="0" w:after="0" w:afterAutospacing="0" w:line="560" w:lineRule="exact"/>
        <w:jc w:val="center"/>
        <w:rPr>
          <w:rFonts w:hint="eastAsia" w:ascii="微软雅黑" w:hAnsi="微软雅黑" w:eastAsia="微软雅黑"/>
          <w:color w:val="000000"/>
          <w:sz w:val="21"/>
          <w:szCs w:val="21"/>
        </w:rPr>
      </w:pPr>
      <w:r>
        <w:rPr>
          <w:rFonts w:hint="eastAsia" w:ascii="仿宋_GB2312" w:hAnsi="微软雅黑" w:eastAsia="仿宋_GB2312"/>
          <w:b/>
          <w:bCs/>
          <w:color w:val="000000"/>
          <w:sz w:val="27"/>
          <w:szCs w:val="27"/>
        </w:rPr>
        <w:t>第六章 附则</w:t>
      </w:r>
    </w:p>
    <w:p>
      <w:pPr>
        <w:pStyle w:val="4"/>
        <w:shd w:val="clear" w:color="auto" w:fill="FFFFFF"/>
        <w:spacing w:before="0" w:beforeAutospacing="0" w:after="0" w:afterAutospacing="0" w:line="560" w:lineRule="exact"/>
        <w:ind w:firstLine="540" w:firstLineChars="200"/>
        <w:rPr>
          <w:rFonts w:hint="eastAsia" w:ascii="微软雅黑" w:hAnsi="微软雅黑" w:eastAsia="微软雅黑"/>
          <w:color w:val="000000"/>
          <w:sz w:val="21"/>
          <w:szCs w:val="21"/>
        </w:rPr>
      </w:pPr>
      <w:r>
        <w:rPr>
          <w:rFonts w:hint="eastAsia" w:ascii="仿宋_GB2312" w:hAnsi="微软雅黑" w:eastAsia="仿宋_GB2312"/>
          <w:color w:val="000000"/>
          <w:sz w:val="27"/>
          <w:szCs w:val="27"/>
        </w:rPr>
        <w:t>第二十八条 本准则自2017年1月1日起施行。</w:t>
      </w:r>
    </w:p>
    <w:p>
      <w:pPr>
        <w:spacing w:before="156" w:beforeLines="50" w:after="156" w:afterLines="50" w:line="560" w:lineRule="exact"/>
        <w:jc w:val="center"/>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0902620"/>
      <w:docPartObj>
        <w:docPartGallery w:val="autotext"/>
      </w:docPartObj>
    </w:sdtPr>
    <w:sdtContent>
      <w:sdt>
        <w:sdtPr>
          <w:id w:val="-1669238322"/>
          <w:docPartObj>
            <w:docPartGallery w:val="autotext"/>
          </w:docPartObj>
        </w:sdtPr>
        <w:sdtContent>
          <w:p>
            <w:pPr>
              <w:pStyle w:val="2"/>
              <w:jc w:val="center"/>
            </w:pPr>
            <w:r>
              <w:rPr>
                <w:rFonts w:hint="eastAsia"/>
              </w:rPr>
              <w:t>第</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r>
              <w:rPr>
                <w:rFonts w:hint="eastAsia"/>
                <w:lang w:val="zh-CN"/>
              </w:rPr>
              <w:t>页</w:t>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ZWYyYjc4Y2FkYmRmZjY0NjY1ZDY0NzUyMDNmZDgifQ=="/>
  </w:docVars>
  <w:rsids>
    <w:rsidRoot w:val="00C70189"/>
    <w:rsid w:val="0002330E"/>
    <w:rsid w:val="00051673"/>
    <w:rsid w:val="00076FD3"/>
    <w:rsid w:val="000A4620"/>
    <w:rsid w:val="001367F3"/>
    <w:rsid w:val="002F266F"/>
    <w:rsid w:val="004834C9"/>
    <w:rsid w:val="00915AED"/>
    <w:rsid w:val="00BB0894"/>
    <w:rsid w:val="00C32368"/>
    <w:rsid w:val="00C70189"/>
    <w:rsid w:val="00CA4A8D"/>
    <w:rsid w:val="00F60B31"/>
    <w:rsid w:val="00F60CAD"/>
    <w:rsid w:val="01153BDB"/>
    <w:rsid w:val="4F59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3152</Words>
  <Characters>3155</Characters>
  <Lines>23</Lines>
  <Paragraphs>6</Paragraphs>
  <TotalTime>49</TotalTime>
  <ScaleCrop>false</ScaleCrop>
  <LinksUpToDate>false</LinksUpToDate>
  <CharactersWithSpaces>3207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2019-02-26T05:23:00Z</dcterms:created>
  <dc:creator>Administrator</dc:creator>
  <cp:lastModifiedBy>吴斌</cp:lastModifiedBy>
  <dcterms:modified xsi:type="dcterms:W3CDTF">2023-03-24T06:24:29Z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5E41E2F28719440CB63A8AF18A873B80</vt:lpwstr>
  </property>
</Properties>
</file>